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D5" w:rsidRPr="009068D5" w:rsidRDefault="009068D5" w:rsidP="009068D5">
      <w:pPr>
        <w:autoSpaceDE w:val="0"/>
        <w:autoSpaceDN w:val="0"/>
        <w:adjustRightInd w:val="0"/>
        <w:spacing w:line="360" w:lineRule="auto"/>
        <w:ind w:firstLineChars="200" w:firstLine="640"/>
        <w:jc w:val="center"/>
        <w:rPr>
          <w:rFonts w:ascii="方正小标宋简体" w:eastAsia="方正小标宋简体" w:hAnsi="宋体" w:cs="华文中宋" w:hint="eastAsia"/>
          <w:kern w:val="0"/>
          <w:sz w:val="32"/>
          <w:szCs w:val="32"/>
        </w:rPr>
      </w:pPr>
      <w:bookmarkStart w:id="0" w:name="_GoBack"/>
      <w:r w:rsidRPr="009068D5">
        <w:rPr>
          <w:rFonts w:ascii="方正小标宋简体" w:eastAsia="方正小标宋简体" w:hAnsi="宋体" w:cs="华文中宋" w:hint="eastAsia"/>
          <w:kern w:val="0"/>
          <w:sz w:val="32"/>
          <w:szCs w:val="32"/>
        </w:rPr>
        <w:t>化学药生物等效性试验备案范围和程序</w:t>
      </w:r>
    </w:p>
    <w:bookmarkEnd w:id="0"/>
    <w:p w:rsidR="009068D5" w:rsidRPr="001770F6" w:rsidRDefault="009068D5" w:rsidP="009068D5">
      <w:pPr>
        <w:autoSpaceDE w:val="0"/>
        <w:autoSpaceDN w:val="0"/>
        <w:adjustRightInd w:val="0"/>
        <w:spacing w:line="360" w:lineRule="auto"/>
        <w:ind w:firstLineChars="200" w:firstLine="480"/>
        <w:jc w:val="left"/>
        <w:rPr>
          <w:rFonts w:ascii="宋体" w:eastAsia="宋体" w:hAnsi="宋体" w:cs="黑体"/>
          <w:kern w:val="0"/>
          <w:sz w:val="24"/>
          <w:szCs w:val="24"/>
        </w:rPr>
      </w:pPr>
    </w:p>
    <w:p w:rsidR="009068D5" w:rsidRPr="001770F6" w:rsidRDefault="009068D5" w:rsidP="009068D5">
      <w:pPr>
        <w:autoSpaceDE w:val="0"/>
        <w:autoSpaceDN w:val="0"/>
        <w:adjustRightInd w:val="0"/>
        <w:spacing w:line="360" w:lineRule="auto"/>
        <w:jc w:val="left"/>
        <w:rPr>
          <w:rFonts w:ascii="宋体" w:eastAsia="宋体" w:hAnsi="宋体" w:cs="黑体"/>
          <w:kern w:val="0"/>
          <w:sz w:val="24"/>
          <w:szCs w:val="24"/>
        </w:rPr>
      </w:pPr>
      <w:r w:rsidRPr="001770F6">
        <w:rPr>
          <w:rFonts w:ascii="宋体" w:eastAsia="宋体" w:hAnsi="宋体" w:cs="黑体" w:hint="eastAsia"/>
          <w:kern w:val="0"/>
          <w:sz w:val="24"/>
          <w:szCs w:val="24"/>
        </w:rPr>
        <w:t xml:space="preserve">    一、备案范围</w:t>
      </w:r>
    </w:p>
    <w:p w:rsidR="009068D5" w:rsidRPr="001770F6" w:rsidRDefault="009068D5" w:rsidP="009068D5">
      <w:pPr>
        <w:autoSpaceDE w:val="0"/>
        <w:autoSpaceDN w:val="0"/>
        <w:adjustRightInd w:val="0"/>
        <w:spacing w:line="360" w:lineRule="auto"/>
        <w:jc w:val="left"/>
        <w:rPr>
          <w:rFonts w:ascii="宋体" w:eastAsia="宋体" w:hAnsi="宋体" w:cs="AdobeSongStd-Light"/>
          <w:kern w:val="0"/>
          <w:sz w:val="24"/>
          <w:szCs w:val="24"/>
        </w:rPr>
      </w:pPr>
      <w:r w:rsidRPr="001770F6">
        <w:rPr>
          <w:rFonts w:ascii="宋体" w:eastAsia="宋体" w:hAnsi="宋体" w:cs="AdobeSongStd-Light" w:hint="eastAsia"/>
          <w:kern w:val="0"/>
          <w:sz w:val="24"/>
          <w:szCs w:val="24"/>
        </w:rPr>
        <w:t xml:space="preserve">   （一）属于下列情形的化学药，应当进行</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试验备案：</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kern w:val="0"/>
          <w:sz w:val="24"/>
          <w:szCs w:val="24"/>
        </w:rPr>
        <w:t>1.</w:t>
      </w:r>
      <w:r w:rsidRPr="001770F6">
        <w:rPr>
          <w:rFonts w:ascii="宋体" w:eastAsia="宋体" w:hAnsi="宋体" w:cs="AdobeSongStd-Light" w:hint="eastAsia"/>
          <w:kern w:val="0"/>
          <w:sz w:val="24"/>
          <w:szCs w:val="24"/>
        </w:rPr>
        <w:t>仿制已上市的参比制剂，其活性成分、给药途径、剂型、规格应与参比制剂相一致。参比制剂应为原研药品。</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kern w:val="0"/>
          <w:sz w:val="24"/>
          <w:szCs w:val="24"/>
        </w:rPr>
        <w:t>2.</w:t>
      </w:r>
      <w:r w:rsidRPr="001770F6">
        <w:rPr>
          <w:rFonts w:ascii="宋体" w:eastAsia="宋体" w:hAnsi="宋体" w:cs="AdobeSongStd-Light" w:hint="eastAsia"/>
          <w:kern w:val="0"/>
          <w:sz w:val="24"/>
          <w:szCs w:val="24"/>
        </w:rPr>
        <w:t>已批准在境内上市，需通过</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试验开展相应变更研究的药品。</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kern w:val="0"/>
          <w:sz w:val="24"/>
          <w:szCs w:val="24"/>
        </w:rPr>
        <w:t>3.</w:t>
      </w:r>
      <w:r w:rsidRPr="001770F6">
        <w:rPr>
          <w:rFonts w:ascii="宋体" w:eastAsia="宋体" w:hAnsi="宋体" w:cs="AdobeSongStd-Light" w:hint="eastAsia"/>
          <w:kern w:val="0"/>
          <w:sz w:val="24"/>
          <w:szCs w:val="24"/>
        </w:rPr>
        <w:t>已在境内上市，需通过</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试验与参比制剂进行质量和疗效一致性评价的药品。参比制剂应为原研药或国际公认的仿制药。</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hint="eastAsia"/>
          <w:kern w:val="0"/>
          <w:sz w:val="24"/>
          <w:szCs w:val="24"/>
        </w:rPr>
        <w:t>（二）属于下列情形的化学药，如需开展</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试验，可按照《药品注册管理办法》的有关规定申报受理和审评审批。</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kern w:val="0"/>
          <w:sz w:val="24"/>
          <w:szCs w:val="24"/>
        </w:rPr>
        <w:t>1.</w:t>
      </w:r>
      <w:r w:rsidRPr="001770F6">
        <w:rPr>
          <w:rFonts w:ascii="宋体" w:eastAsia="宋体" w:hAnsi="宋体" w:cs="AdobeSongStd-Light" w:hint="eastAsia"/>
          <w:kern w:val="0"/>
          <w:sz w:val="24"/>
          <w:szCs w:val="24"/>
        </w:rPr>
        <w:t>放射性药品、麻醉药品、第一类精神药品、第二类精神药品和药品类易制毒化学品；</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kern w:val="0"/>
          <w:sz w:val="24"/>
          <w:szCs w:val="24"/>
        </w:rPr>
        <w:t>2.</w:t>
      </w:r>
      <w:r w:rsidRPr="001770F6">
        <w:rPr>
          <w:rFonts w:ascii="宋体" w:eastAsia="宋体" w:hAnsi="宋体" w:cs="AdobeSongStd-Light" w:hint="eastAsia"/>
          <w:kern w:val="0"/>
          <w:sz w:val="24"/>
          <w:szCs w:val="24"/>
        </w:rPr>
        <w:t>细胞毒类药品；</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kern w:val="0"/>
          <w:sz w:val="24"/>
          <w:szCs w:val="24"/>
        </w:rPr>
        <w:t>3.</w:t>
      </w:r>
      <w:r w:rsidRPr="001770F6">
        <w:rPr>
          <w:rFonts w:ascii="宋体" w:eastAsia="宋体" w:hAnsi="宋体" w:cs="AdobeSongStd-Light" w:hint="eastAsia"/>
          <w:kern w:val="0"/>
          <w:sz w:val="24"/>
          <w:szCs w:val="24"/>
        </w:rPr>
        <w:t>不适用</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试验方法验证与参比制剂质量和疗效一致的药品；</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kern w:val="0"/>
          <w:sz w:val="24"/>
          <w:szCs w:val="24"/>
        </w:rPr>
        <w:t>4.</w:t>
      </w:r>
      <w:r w:rsidRPr="001770F6">
        <w:rPr>
          <w:rFonts w:ascii="宋体" w:eastAsia="宋体" w:hAnsi="宋体" w:cs="AdobeSongStd-Light" w:hint="eastAsia"/>
          <w:kern w:val="0"/>
          <w:sz w:val="24"/>
          <w:szCs w:val="24"/>
        </w:rPr>
        <w:t>不以境内注册申请或仿制药质量和疗效一致性评价为目的进行</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试验药品；</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kern w:val="0"/>
          <w:sz w:val="24"/>
          <w:szCs w:val="24"/>
        </w:rPr>
        <w:t>5.</w:t>
      </w:r>
      <w:r w:rsidRPr="001770F6">
        <w:rPr>
          <w:rFonts w:ascii="宋体" w:eastAsia="宋体" w:hAnsi="宋体" w:cs="AdobeSongStd-Light" w:hint="eastAsia"/>
          <w:kern w:val="0"/>
          <w:sz w:val="24"/>
          <w:szCs w:val="24"/>
        </w:rPr>
        <w:t>注册申请人认为</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试验可能潜在安全性风险需要进行技术评价的药品。</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黑体" w:hint="eastAsia"/>
          <w:kern w:val="0"/>
          <w:sz w:val="24"/>
          <w:szCs w:val="24"/>
        </w:rPr>
        <w:t>二、备案程序</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hint="eastAsia"/>
          <w:kern w:val="0"/>
          <w:sz w:val="24"/>
          <w:szCs w:val="24"/>
        </w:rPr>
        <w:t>（一）注册申请人向具有资质的药物临床试验机构提出申请，获得该机构伦理委员会的批准，并签署</w:t>
      </w:r>
      <w:r w:rsidRPr="001770F6">
        <w:rPr>
          <w:rFonts w:ascii="宋体" w:eastAsia="宋体" w:hAnsi="宋体" w:cs="AdobeSongStd-Light"/>
          <w:kern w:val="0"/>
          <w:sz w:val="24"/>
          <w:szCs w:val="24"/>
        </w:rPr>
        <w:t>BE</w:t>
      </w:r>
      <w:r w:rsidRPr="001770F6">
        <w:rPr>
          <w:rFonts w:ascii="宋体" w:eastAsia="宋体" w:hAnsi="宋体" w:cs="AdobeSongStd-Light" w:hint="eastAsia"/>
          <w:kern w:val="0"/>
          <w:sz w:val="24"/>
          <w:szCs w:val="24"/>
        </w:rPr>
        <w:t>试验合同。</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hint="eastAsia"/>
          <w:kern w:val="0"/>
          <w:sz w:val="24"/>
          <w:szCs w:val="24"/>
        </w:rPr>
        <w:t>（二）注册申请人开展生物等效性试验前</w:t>
      </w:r>
      <w:r w:rsidRPr="001770F6">
        <w:rPr>
          <w:rFonts w:ascii="宋体" w:eastAsia="宋体" w:hAnsi="宋体" w:cs="AdobeSongStd-Light"/>
          <w:kern w:val="0"/>
          <w:sz w:val="24"/>
          <w:szCs w:val="24"/>
        </w:rPr>
        <w:t xml:space="preserve">30 </w:t>
      </w:r>
      <w:r w:rsidRPr="001770F6">
        <w:rPr>
          <w:rFonts w:ascii="宋体" w:eastAsia="宋体" w:hAnsi="宋体" w:cs="AdobeSongStd-Light" w:hint="eastAsia"/>
          <w:kern w:val="0"/>
          <w:sz w:val="24"/>
          <w:szCs w:val="24"/>
        </w:rPr>
        <w:t>天，应当在国家食品药品监督管理总局指定的化学药</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试验备案信息平台进行化学药</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试验备案，按要求提交备案资料。</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hint="eastAsia"/>
          <w:kern w:val="0"/>
          <w:sz w:val="24"/>
          <w:szCs w:val="24"/>
        </w:rPr>
        <w:t>（三）备案资料主要包括注册申请人信息、产品基本信息、处方工艺、质量研究和质量标准、参比制剂基本信息、稳定性研究、原料药、试验方案设计、伦理委员会批准证明文件等。</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hint="eastAsia"/>
          <w:kern w:val="0"/>
          <w:sz w:val="24"/>
          <w:szCs w:val="24"/>
        </w:rPr>
        <w:t>（四）注册申请人</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试验的参比制剂及各参与方的基本信息等向社会公开。</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hint="eastAsia"/>
          <w:kern w:val="0"/>
          <w:sz w:val="24"/>
          <w:szCs w:val="24"/>
        </w:rPr>
        <w:lastRenderedPageBreak/>
        <w:t>（五）注册申请人在获得备案号后，应在第</w:t>
      </w:r>
      <w:r w:rsidRPr="001770F6">
        <w:rPr>
          <w:rFonts w:ascii="宋体" w:eastAsia="宋体" w:hAnsi="宋体" w:cs="AdobeSongStd-Light"/>
          <w:kern w:val="0"/>
          <w:sz w:val="24"/>
          <w:szCs w:val="24"/>
        </w:rPr>
        <w:t xml:space="preserve">1 </w:t>
      </w:r>
      <w:r w:rsidRPr="001770F6">
        <w:rPr>
          <w:rFonts w:ascii="宋体" w:eastAsia="宋体" w:hAnsi="宋体" w:cs="AdobeSongStd-Light" w:hint="eastAsia"/>
          <w:kern w:val="0"/>
          <w:sz w:val="24"/>
          <w:szCs w:val="24"/>
        </w:rPr>
        <w:t>例受试者入组前在国家食品药品监督管理总局药物临床试验登记与信息公示平台完成开展试验前的所有信息登记，并由国家食品药品监督管理总局向社会公示；</w:t>
      </w:r>
      <w:r w:rsidRPr="001770F6">
        <w:rPr>
          <w:rFonts w:ascii="宋体" w:eastAsia="宋体" w:hAnsi="宋体" w:cs="AdobeSongStd-Light"/>
          <w:kern w:val="0"/>
          <w:sz w:val="24"/>
          <w:szCs w:val="24"/>
        </w:rPr>
        <w:t xml:space="preserve">1 </w:t>
      </w:r>
      <w:r w:rsidRPr="001770F6">
        <w:rPr>
          <w:rFonts w:ascii="宋体" w:eastAsia="宋体" w:hAnsi="宋体" w:cs="AdobeSongStd-Light" w:hint="eastAsia"/>
          <w:kern w:val="0"/>
          <w:sz w:val="24"/>
          <w:szCs w:val="24"/>
        </w:rPr>
        <w:t>年内未提交受试者入组试验信息的，注册申请人须说明情况；</w:t>
      </w:r>
      <w:r w:rsidRPr="001770F6">
        <w:rPr>
          <w:rFonts w:ascii="宋体" w:eastAsia="宋体" w:hAnsi="宋体" w:cs="AdobeSongStd-Light"/>
          <w:kern w:val="0"/>
          <w:sz w:val="24"/>
          <w:szCs w:val="24"/>
        </w:rPr>
        <w:t>2</w:t>
      </w:r>
      <w:r w:rsidRPr="001770F6">
        <w:rPr>
          <w:rFonts w:ascii="宋体" w:eastAsia="宋体" w:hAnsi="宋体" w:cs="AdobeSongStd-Light" w:hint="eastAsia"/>
          <w:kern w:val="0"/>
          <w:sz w:val="24"/>
          <w:szCs w:val="24"/>
        </w:rPr>
        <w:t>年内未提交受试者入组试验信息的，所获得备案号自行失效。</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hint="eastAsia"/>
          <w:kern w:val="0"/>
          <w:sz w:val="24"/>
          <w:szCs w:val="24"/>
        </w:rPr>
        <w:t>（六）注册申请人应严格执行《药物临床试验质量管理规范》（</w:t>
      </w:r>
      <w:r w:rsidRPr="001770F6">
        <w:rPr>
          <w:rFonts w:ascii="宋体" w:eastAsia="宋体" w:hAnsi="宋体" w:cs="AdobeSongStd-Light"/>
          <w:kern w:val="0"/>
          <w:sz w:val="24"/>
          <w:szCs w:val="24"/>
        </w:rPr>
        <w:t>GCP</w:t>
      </w:r>
      <w:r w:rsidRPr="001770F6">
        <w:rPr>
          <w:rFonts w:ascii="宋体" w:eastAsia="宋体" w:hAnsi="宋体" w:cs="AdobeSongStd-Light" w:hint="eastAsia"/>
          <w:kern w:val="0"/>
          <w:sz w:val="24"/>
          <w:szCs w:val="24"/>
        </w:rPr>
        <w:t>），按照试验方案开展</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过程中，参比制剂、原料药、制剂处方、工艺等发生变更，注册申请人应停止试验，通过备案平台提交试验中止的申请，国家食品药品监督管理总局将公示其中止试验。注册申请人根据变更情况，向国家食品药品监督管理总局提交备案变更资料，生成新的备案号后重新开展</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hint="eastAsia"/>
          <w:kern w:val="0"/>
          <w:sz w:val="24"/>
          <w:szCs w:val="24"/>
        </w:rPr>
        <w:t>（七）注册申请人应当在</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试验完成或因故终止一年内，在备案平台提交</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试验的总结报告或情况说明。</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hint="eastAsia"/>
          <w:kern w:val="0"/>
          <w:sz w:val="24"/>
          <w:szCs w:val="24"/>
        </w:rPr>
        <w:t>（八）注册申请人完成</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试验后，应将试验数据申报资料、备案信息及变更情况提交国家食品药品监督管理总局，在此基础上提出相应药品注册申请。注册申请人要承诺其注册申请资料及数据的真实、完整、规范。</w:t>
      </w:r>
    </w:p>
    <w:p w:rsidR="009068D5" w:rsidRPr="001770F6" w:rsidRDefault="009068D5" w:rsidP="009068D5">
      <w:pPr>
        <w:autoSpaceDE w:val="0"/>
        <w:autoSpaceDN w:val="0"/>
        <w:adjustRightInd w:val="0"/>
        <w:spacing w:line="360" w:lineRule="auto"/>
        <w:ind w:firstLineChars="200" w:firstLine="480"/>
        <w:jc w:val="left"/>
        <w:rPr>
          <w:rFonts w:ascii="宋体" w:eastAsia="宋体" w:hAnsi="宋体" w:cs="AdobeSongStd-Light"/>
          <w:kern w:val="0"/>
          <w:sz w:val="24"/>
          <w:szCs w:val="24"/>
        </w:rPr>
      </w:pPr>
      <w:r w:rsidRPr="001770F6">
        <w:rPr>
          <w:rFonts w:ascii="宋体" w:eastAsia="宋体" w:hAnsi="宋体" w:cs="AdobeSongStd-Light" w:hint="eastAsia"/>
          <w:kern w:val="0"/>
          <w:sz w:val="24"/>
          <w:szCs w:val="24"/>
        </w:rPr>
        <w:t>（九）未按本公告规定备案而开展的</w:t>
      </w:r>
      <w:r w:rsidRPr="001770F6">
        <w:rPr>
          <w:rFonts w:ascii="宋体" w:eastAsia="宋体" w:hAnsi="宋体" w:cs="AdobeSongStd-Light"/>
          <w:kern w:val="0"/>
          <w:sz w:val="24"/>
          <w:szCs w:val="24"/>
        </w:rPr>
        <w:t xml:space="preserve">BE </w:t>
      </w:r>
      <w:r w:rsidRPr="001770F6">
        <w:rPr>
          <w:rFonts w:ascii="宋体" w:eastAsia="宋体" w:hAnsi="宋体" w:cs="AdobeSongStd-Light" w:hint="eastAsia"/>
          <w:kern w:val="0"/>
          <w:sz w:val="24"/>
          <w:szCs w:val="24"/>
        </w:rPr>
        <w:t>试验，国家食品药品监督管理总局不受理其注册申请。</w:t>
      </w:r>
    </w:p>
    <w:p w:rsidR="00A2685C" w:rsidRPr="009068D5" w:rsidRDefault="00A2685C"/>
    <w:sectPr w:rsidR="00A2685C" w:rsidRPr="00906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dobeSongStd-Light">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D5"/>
    <w:rsid w:val="009068D5"/>
    <w:rsid w:val="00A2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4C76"/>
  <w15:chartTrackingRefBased/>
  <w15:docId w15:val="{4698EF34-3A66-4DDF-A681-112B82E4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1009</Characters>
  <Application>Microsoft Office Word</Application>
  <DocSecurity>0</DocSecurity>
  <Lines>8</Lines>
  <Paragraphs>2</Paragraphs>
  <ScaleCrop>false</ScaleCrop>
  <Company>Microsoft</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余明丽</dc:creator>
  <cp:keywords/>
  <dc:description/>
  <cp:lastModifiedBy>余明丽</cp:lastModifiedBy>
  <cp:revision>1</cp:revision>
  <dcterms:created xsi:type="dcterms:W3CDTF">2019-01-24T10:12:00Z</dcterms:created>
  <dcterms:modified xsi:type="dcterms:W3CDTF">2019-01-24T10:13:00Z</dcterms:modified>
</cp:coreProperties>
</file>